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90EC8" w14:textId="0991C46A" w:rsidR="00D01E4B" w:rsidRPr="00D01E4B" w:rsidRDefault="00D01E4B" w:rsidP="00D01E4B">
      <w:pPr>
        <w:ind w:left="284" w:hanging="284"/>
        <w:rPr>
          <w:color w:val="404040" w:themeColor="text1" w:themeTint="BF"/>
          <w:sz w:val="36"/>
          <w:szCs w:val="36"/>
        </w:rPr>
      </w:pPr>
      <w:r>
        <w:rPr>
          <w:noProof/>
          <w:color w:val="404040" w:themeColor="text1" w:themeTint="BF"/>
          <w:position w:val="-10"/>
          <w:sz w:val="36"/>
          <w:szCs w:val="36"/>
          <w:lang w:val="en-US"/>
        </w:rPr>
        <mc:AlternateContent>
          <mc:Choice Requires="wps">
            <w:drawing>
              <wp:anchor distT="0" distB="0" distL="114300" distR="114300" simplePos="0" relativeHeight="251659264" behindDoc="0" locked="0" layoutInCell="1" allowOverlap="1" wp14:anchorId="3B1C57BD" wp14:editId="5D677B10">
                <wp:simplePos x="0" y="0"/>
                <wp:positionH relativeFrom="column">
                  <wp:posOffset>77615</wp:posOffset>
                </wp:positionH>
                <wp:positionV relativeFrom="paragraph">
                  <wp:posOffset>-99695</wp:posOffset>
                </wp:positionV>
                <wp:extent cx="6111433" cy="706056"/>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6111433" cy="706056"/>
                        </a:xfrm>
                        <a:prstGeom prst="rect">
                          <a:avLst/>
                        </a:prstGeom>
                        <a:solidFill>
                          <a:schemeClr val="lt1"/>
                        </a:solidFill>
                        <a:ln w="6350">
                          <a:noFill/>
                        </a:ln>
                      </wps:spPr>
                      <wps:txbx>
                        <w:txbxContent>
                          <w:p w14:paraId="67C2541A" w14:textId="0A4F22A5" w:rsidR="00D01E4B" w:rsidRDefault="00D01E4B">
                            <w:r>
                              <w:rPr>
                                <w:color w:val="404040" w:themeColor="text1" w:themeTint="BF"/>
                                <w:sz w:val="36"/>
                                <w:szCs w:val="36"/>
                              </w:rPr>
                              <w:t xml:space="preserve">Consider your classroom programme in relation to the </w:t>
                            </w:r>
                            <w:r>
                              <w:rPr>
                                <w:color w:val="404040" w:themeColor="text1" w:themeTint="BF"/>
                                <w:sz w:val="36"/>
                                <w:szCs w:val="36"/>
                              </w:rPr>
                              <w:br/>
                              <w:t>reading framework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1C57BD" id="_x0000_t202" coordsize="21600,21600" o:spt="202" path="m,l,21600r21600,l21600,xe">
                <v:stroke joinstyle="miter"/>
                <v:path gradientshapeok="t" o:connecttype="rect"/>
              </v:shapetype>
              <v:shape id="Text Box 2" o:spid="_x0000_s1026" type="#_x0000_t202" style="position:absolute;left:0;text-align:left;margin-left:6.1pt;margin-top:-7.85pt;width:481.2pt;height:55.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" fillcolor="white [3201]" stroked="f" strokeweight=".5pt">
                <v:textbox>
                  <w:txbxContent>
                    <w:p w14:paraId="67C2541A" w14:textId="0A4F22A5" w:rsidR="00D01E4B" w:rsidRDefault="00D01E4B">
                      <w:r>
                        <w:rPr>
                          <w:color w:val="404040" w:themeColor="text1" w:themeTint="BF"/>
                          <w:sz w:val="36"/>
                          <w:szCs w:val="36"/>
                        </w:rPr>
                        <w:t xml:space="preserve">Consider your classroom programme in relation to the </w:t>
                      </w:r>
                      <w:r>
                        <w:rPr>
                          <w:color w:val="404040" w:themeColor="text1" w:themeTint="BF"/>
                          <w:sz w:val="36"/>
                          <w:szCs w:val="36"/>
                        </w:rPr>
                        <w:br/>
                      </w:r>
                      <w:r>
                        <w:rPr>
                          <w:color w:val="404040" w:themeColor="text1" w:themeTint="BF"/>
                          <w:sz w:val="36"/>
                          <w:szCs w:val="36"/>
                        </w:rPr>
                        <w:t>reading framework</w:t>
                      </w:r>
                    </w:p>
                  </w:txbxContent>
                </v:textbox>
              </v:shape>
            </w:pict>
          </mc:Fallback>
        </mc:AlternateContent>
      </w:r>
      <w:r w:rsidR="00C67349" w:rsidRPr="004A205E">
        <w:rPr>
          <w:noProof/>
          <w:color w:val="404040" w:themeColor="text1" w:themeTint="BF"/>
          <w:position w:val="-10"/>
          <w:sz w:val="36"/>
          <w:szCs w:val="36"/>
          <w:lang w:val="en-US"/>
        </w:rPr>
        <w:drawing>
          <wp:inline distT="0" distB="0" distL="0" distR="0" wp14:anchorId="48FE4803" wp14:editId="52D9D373">
            <wp:extent cx="72000" cy="504000"/>
            <wp:effectExtent l="0" t="0" r="4445" b="4445"/>
            <wp:docPr id="6" name="Picture 6" descr="C:\Users\Andrew Tagg\Desktop\Captur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Users\Andrew Tagg\Desktop\Captur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00" cy="504000"/>
                    </a:xfrm>
                    <a:prstGeom prst="rect">
                      <a:avLst/>
                    </a:prstGeom>
                    <a:noFill/>
                    <a:ln>
                      <a:noFill/>
                    </a:ln>
                  </pic:spPr>
                </pic:pic>
              </a:graphicData>
            </a:graphic>
          </wp:inline>
        </w:drawing>
      </w:r>
      <w:r w:rsidR="00C67349">
        <w:rPr>
          <w:color w:val="404040" w:themeColor="text1" w:themeTint="BF"/>
          <w:sz w:val="36"/>
          <w:szCs w:val="36"/>
        </w:rPr>
        <w:t xml:space="preserve"> </w:t>
      </w:r>
      <w:r w:rsidR="001507F5">
        <w:rPr>
          <w:color w:val="404040" w:themeColor="text1" w:themeTint="BF"/>
          <w:sz w:val="36"/>
          <w:szCs w:val="36"/>
        </w:rPr>
        <w:t xml:space="preserve"> </w:t>
      </w:r>
    </w:p>
    <w:p w14:paraId="6C9B1F48" w14:textId="18F0D49B" w:rsidR="007B04F7" w:rsidRPr="001507F5" w:rsidRDefault="00547D03" w:rsidP="001507F5">
      <w:r w:rsidRPr="001507F5">
        <w:t>These prompts are intended to support teachers to become more familiar with the</w:t>
      </w:r>
      <w:r w:rsidR="001507F5">
        <w:t xml:space="preserve"> </w:t>
      </w:r>
      <w:r w:rsidRPr="001507F5">
        <w:t>reading framework and use it to consider the extent to which their classroom</w:t>
      </w:r>
      <w:r w:rsidR="001507F5">
        <w:t xml:space="preserve"> </w:t>
      </w:r>
      <w:r w:rsidRPr="001507F5">
        <w:t>programme provides opportunities for students to develop all aspects of reading.</w:t>
      </w:r>
    </w:p>
    <w:p w14:paraId="63980023" w14:textId="670549D9" w:rsidR="00DD6914" w:rsidRPr="000A6BC5" w:rsidRDefault="00D7000B" w:rsidP="007F3B8A">
      <w:pPr>
        <w:spacing w:before="120" w:after="120"/>
      </w:pPr>
      <w:r>
        <w:t xml:space="preserve">It </w:t>
      </w:r>
      <w:r w:rsidR="004047AE">
        <w:t xml:space="preserve">can </w:t>
      </w:r>
      <w:bookmarkStart w:id="0" w:name="_GoBack"/>
      <w:bookmarkEnd w:id="0"/>
      <w:r w:rsidR="00547D03" w:rsidRPr="000A6BC5">
        <w:t>be carried out by teachers across the school at a PLD meeting, or as a smaller group</w:t>
      </w:r>
      <w:r w:rsidR="00916849">
        <w:t xml:space="preserve"> </w:t>
      </w:r>
      <w:r w:rsidR="00547D03" w:rsidRPr="000A6BC5">
        <w:t xml:space="preserve">or syndicate. </w:t>
      </w:r>
      <w:r w:rsidRPr="00FB6F35">
        <w:t xml:space="preserve">The resources </w:t>
      </w:r>
      <w:r>
        <w:t>referred to</w:t>
      </w:r>
      <w:r w:rsidRPr="00FB6F35">
        <w:t xml:space="preserve"> in this activity can be found in the resources column at</w:t>
      </w:r>
      <w:r>
        <w:t xml:space="preserve"> </w:t>
      </w:r>
      <w:hyperlink r:id="rId6" w:history="1">
        <w:r w:rsidRPr="00746F1D">
          <w:rPr>
            <w:rStyle w:val="Hyperlink"/>
          </w:rPr>
          <w:t>https://curriculumprogresstools.education.govt.nz/lpfs/understanding-the-reading-framework/</w:t>
        </w:r>
      </w:hyperlink>
      <w:r>
        <w:t xml:space="preserve">. </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9268"/>
        <w:gridCol w:w="24"/>
      </w:tblGrid>
      <w:tr w:rsidR="00033C40" w14:paraId="28B9818E" w14:textId="77777777" w:rsidTr="00245440">
        <w:trPr>
          <w:gridAfter w:val="1"/>
          <w:wAfter w:w="24" w:type="dxa"/>
          <w:trHeight w:val="568"/>
        </w:trPr>
        <w:tc>
          <w:tcPr>
            <w:tcW w:w="597" w:type="dxa"/>
            <w:tcBorders>
              <w:top w:val="single" w:sz="8" w:space="0" w:color="F17B2D"/>
              <w:left w:val="single" w:sz="8" w:space="0" w:color="F17B2D"/>
            </w:tcBorders>
            <w:shd w:val="clear" w:color="auto" w:fill="F17B2D"/>
            <w:vAlign w:val="center"/>
          </w:tcPr>
          <w:p w14:paraId="594A3327" w14:textId="77777777" w:rsidR="00033C40" w:rsidRPr="0006338D" w:rsidRDefault="00033C40" w:rsidP="00561549">
            <w:pPr>
              <w:jc w:val="center"/>
              <w:rPr>
                <w:b/>
                <w:sz w:val="32"/>
                <w:szCs w:val="32"/>
              </w:rPr>
            </w:pPr>
            <w:r w:rsidRPr="0006338D">
              <w:rPr>
                <w:b/>
                <w:color w:val="FFFFFF" w:themeColor="background1"/>
                <w:sz w:val="32"/>
                <w:szCs w:val="32"/>
              </w:rPr>
              <w:t>1.</w:t>
            </w:r>
          </w:p>
        </w:tc>
        <w:tc>
          <w:tcPr>
            <w:tcW w:w="9268" w:type="dxa"/>
            <w:tcBorders>
              <w:top w:val="single" w:sz="8" w:space="0" w:color="2A6EBB"/>
              <w:right w:val="single" w:sz="8" w:space="0" w:color="2A6EBB"/>
            </w:tcBorders>
            <w:shd w:val="clear" w:color="auto" w:fill="2A6EBB"/>
            <w:vAlign w:val="center"/>
          </w:tcPr>
          <w:p w14:paraId="0E99435A" w14:textId="4FD923E5" w:rsidR="00033C40" w:rsidRPr="00033C40" w:rsidRDefault="00547D03" w:rsidP="00476139">
            <w:pPr>
              <w:rPr>
                <w:b/>
                <w:color w:val="FFFFFF" w:themeColor="background1"/>
                <w:sz w:val="24"/>
                <w:szCs w:val="24"/>
              </w:rPr>
            </w:pPr>
            <w:r>
              <w:rPr>
                <w:b/>
                <w:color w:val="FFFFFF" w:themeColor="background1"/>
                <w:sz w:val="24"/>
                <w:szCs w:val="24"/>
              </w:rPr>
              <w:t xml:space="preserve">Take stock of </w:t>
            </w:r>
            <w:r w:rsidR="007B04F7">
              <w:rPr>
                <w:b/>
                <w:color w:val="FFFFFF" w:themeColor="background1"/>
                <w:sz w:val="24"/>
                <w:szCs w:val="24"/>
              </w:rPr>
              <w:t xml:space="preserve">your </w:t>
            </w:r>
            <w:r>
              <w:rPr>
                <w:b/>
                <w:color w:val="FFFFFF" w:themeColor="background1"/>
                <w:sz w:val="24"/>
                <w:szCs w:val="24"/>
              </w:rPr>
              <w:t xml:space="preserve">current reading </w:t>
            </w:r>
            <w:r w:rsidR="007B04F7">
              <w:rPr>
                <w:b/>
                <w:color w:val="FFFFFF" w:themeColor="background1"/>
                <w:sz w:val="24"/>
                <w:szCs w:val="24"/>
              </w:rPr>
              <w:t>programme</w:t>
            </w:r>
          </w:p>
        </w:tc>
      </w:tr>
      <w:tr w:rsidR="00033C40" w14:paraId="2F7E249F" w14:textId="77777777" w:rsidTr="00245440">
        <w:trPr>
          <w:gridAfter w:val="1"/>
          <w:wAfter w:w="24" w:type="dxa"/>
          <w:trHeight w:val="382"/>
        </w:trPr>
        <w:tc>
          <w:tcPr>
            <w:tcW w:w="9865" w:type="dxa"/>
            <w:gridSpan w:val="2"/>
            <w:tcBorders>
              <w:left w:val="single" w:sz="8" w:space="0" w:color="2A6EBB"/>
              <w:bottom w:val="single" w:sz="8" w:space="0" w:color="2A6EBB"/>
              <w:right w:val="single" w:sz="8" w:space="0" w:color="2A6EBB"/>
            </w:tcBorders>
          </w:tcPr>
          <w:p w14:paraId="7F751FA6" w14:textId="2FB33CCD" w:rsidR="00075BB9" w:rsidRDefault="007B04F7" w:rsidP="00DF542B">
            <w:pPr>
              <w:spacing w:before="120" w:after="120"/>
            </w:pPr>
            <w:r>
              <w:t xml:space="preserve">For </w:t>
            </w:r>
            <w:r w:rsidR="00C350A3">
              <w:t xml:space="preserve">the week prior </w:t>
            </w:r>
            <w:r w:rsidR="00547D03">
              <w:t xml:space="preserve">to the </w:t>
            </w:r>
            <w:r w:rsidR="000B7F79">
              <w:t>activity,</w:t>
            </w:r>
            <w:r w:rsidR="00ED515D">
              <w:t xml:space="preserve"> record</w:t>
            </w:r>
            <w:r w:rsidR="008D42C4">
              <w:t xml:space="preserve"> </w:t>
            </w:r>
            <w:r w:rsidR="000B7F79">
              <w:t xml:space="preserve">all the </w:t>
            </w:r>
            <w:r>
              <w:t>opportunities students have for reading t</w:t>
            </w:r>
            <w:r w:rsidR="008D42C4">
              <w:t xml:space="preserve">hroughout </w:t>
            </w:r>
            <w:r w:rsidR="00F81FE1">
              <w:t xml:space="preserve">the </w:t>
            </w:r>
            <w:r w:rsidR="008D42C4">
              <w:t>school day</w:t>
            </w:r>
            <w:r w:rsidR="00ED515D">
              <w:t xml:space="preserve"> </w:t>
            </w:r>
            <w:r w:rsidR="00F81FE1">
              <w:t>–</w:t>
            </w:r>
            <w:r w:rsidR="00ED515D">
              <w:t xml:space="preserve"> </w:t>
            </w:r>
            <w:r w:rsidR="00F81FE1">
              <w:t xml:space="preserve">the </w:t>
            </w:r>
            <w:r w:rsidR="00ED515D">
              <w:t xml:space="preserve">reading </w:t>
            </w:r>
            <w:r w:rsidR="00005F2C">
              <w:t xml:space="preserve">tasks they </w:t>
            </w:r>
            <w:r w:rsidR="00ED515D">
              <w:t>respond to,</w:t>
            </w:r>
            <w:r w:rsidR="008D42C4">
              <w:t xml:space="preserve"> </w:t>
            </w:r>
            <w:r>
              <w:t>and the kinds of texts they read.</w:t>
            </w:r>
            <w:r w:rsidR="00FD3234">
              <w:t xml:space="preserve"> </w:t>
            </w:r>
            <w:r w:rsidR="00075BB9">
              <w:t>Record each opportunity on a sticky note (to be used later).</w:t>
            </w:r>
          </w:p>
          <w:p w14:paraId="6FABDE5A" w14:textId="7573A676" w:rsidR="00033C40" w:rsidRPr="0096450D" w:rsidRDefault="007B04F7" w:rsidP="00DF542B">
            <w:pPr>
              <w:spacing w:before="120" w:after="120"/>
            </w:pPr>
            <w:r>
              <w:t>In particular</w:t>
            </w:r>
            <w:r w:rsidR="00F81FE1">
              <w:t>,</w:t>
            </w:r>
            <w:r>
              <w:t xml:space="preserve"> </w:t>
            </w:r>
            <w:r w:rsidR="008D42C4">
              <w:t xml:space="preserve">take note of </w:t>
            </w:r>
            <w:r>
              <w:t xml:space="preserve">the </w:t>
            </w:r>
            <w:r w:rsidR="008D42C4">
              <w:t xml:space="preserve">occasions when </w:t>
            </w:r>
            <w:r>
              <w:t>reading is part of</w:t>
            </w:r>
            <w:r w:rsidR="00F63E4B">
              <w:t xml:space="preserve"> a</w:t>
            </w:r>
            <w:r w:rsidR="008D42C4">
              <w:t xml:space="preserve"> </w:t>
            </w:r>
            <w:r w:rsidR="00F63E4B">
              <w:t>learning task</w:t>
            </w:r>
            <w:r>
              <w:t xml:space="preserve"> but isn’t the teaching focus, for example, reading a maths problem, following instructions in a technology </w:t>
            </w:r>
            <w:r w:rsidR="00F63E4B">
              <w:t>or science task</w:t>
            </w:r>
            <w:r w:rsidR="00F81FE1">
              <w:t xml:space="preserve"> </w:t>
            </w:r>
            <w:r w:rsidR="00DF542B">
              <w:t>reading their group’s</w:t>
            </w:r>
            <w:r w:rsidR="00FD3234">
              <w:t xml:space="preserve"> </w:t>
            </w:r>
            <w:r w:rsidR="00DF542B">
              <w:t xml:space="preserve">Google doc, </w:t>
            </w:r>
            <w:r w:rsidR="00A63ED2">
              <w:t>scanning a website</w:t>
            </w:r>
            <w:r w:rsidR="00DF542B">
              <w:t xml:space="preserve">, </w:t>
            </w:r>
            <w:r w:rsidR="00F81FE1">
              <w:t xml:space="preserve">and </w:t>
            </w:r>
            <w:r>
              <w:t>reading the captions under classmates’ artwork</w:t>
            </w:r>
            <w:r w:rsidR="00F63E4B">
              <w:t xml:space="preserve"> or feedback</w:t>
            </w:r>
            <w:r w:rsidR="00FD3234">
              <w:br/>
            </w:r>
            <w:r w:rsidR="00F63E4B">
              <w:t>on their writing.</w:t>
            </w:r>
          </w:p>
        </w:tc>
      </w:tr>
      <w:tr w:rsidR="00033C40" w14:paraId="02E1A28B" w14:textId="77777777" w:rsidTr="00245440">
        <w:trPr>
          <w:gridAfter w:val="1"/>
          <w:wAfter w:w="24" w:type="dxa"/>
          <w:trHeight w:val="497"/>
        </w:trPr>
        <w:tc>
          <w:tcPr>
            <w:tcW w:w="597" w:type="dxa"/>
            <w:tcBorders>
              <w:top w:val="single" w:sz="8" w:space="0" w:color="2A6EBB"/>
            </w:tcBorders>
            <w:vAlign w:val="center"/>
          </w:tcPr>
          <w:p w14:paraId="154FC068" w14:textId="77777777" w:rsidR="00033C40" w:rsidRDefault="00033C40" w:rsidP="00561549">
            <w:r>
              <w:rPr>
                <w:noProof/>
                <w:lang w:val="en-US"/>
              </w:rPr>
              <w:drawing>
                <wp:inline distT="0" distB="0" distL="0" distR="0" wp14:anchorId="2E155DDD" wp14:editId="04BEAEC5">
                  <wp:extent cx="166370" cy="21399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p>
        </w:tc>
        <w:tc>
          <w:tcPr>
            <w:tcW w:w="9268" w:type="dxa"/>
            <w:tcBorders>
              <w:top w:val="single" w:sz="8" w:space="0" w:color="2A6EBB"/>
            </w:tcBorders>
          </w:tcPr>
          <w:p w14:paraId="0451869A" w14:textId="77777777" w:rsidR="00033C40" w:rsidRDefault="00033C40" w:rsidP="007B04F7"/>
          <w:p w14:paraId="2F9504B0" w14:textId="068A57A8" w:rsidR="00C14C96" w:rsidRDefault="00C14C96" w:rsidP="007B04F7"/>
        </w:tc>
      </w:tr>
      <w:tr w:rsidR="00C14C96" w14:paraId="7609D961" w14:textId="77777777" w:rsidTr="00245440">
        <w:trPr>
          <w:gridAfter w:val="1"/>
          <w:wAfter w:w="24" w:type="dxa"/>
          <w:trHeight w:val="568"/>
        </w:trPr>
        <w:tc>
          <w:tcPr>
            <w:tcW w:w="597" w:type="dxa"/>
            <w:tcBorders>
              <w:top w:val="single" w:sz="8" w:space="0" w:color="F17B2D"/>
              <w:left w:val="single" w:sz="8" w:space="0" w:color="F17B2D"/>
            </w:tcBorders>
            <w:shd w:val="clear" w:color="auto" w:fill="F17B2D"/>
            <w:vAlign w:val="center"/>
          </w:tcPr>
          <w:p w14:paraId="2FC206F1" w14:textId="4BA2B698" w:rsidR="00C14C96" w:rsidRPr="0006338D" w:rsidRDefault="00C14C96" w:rsidP="00D758E9">
            <w:pPr>
              <w:jc w:val="center"/>
              <w:rPr>
                <w:b/>
                <w:sz w:val="32"/>
                <w:szCs w:val="32"/>
              </w:rPr>
            </w:pPr>
            <w:r>
              <w:rPr>
                <w:b/>
                <w:color w:val="FFFFFF" w:themeColor="background1"/>
                <w:sz w:val="32"/>
                <w:szCs w:val="32"/>
              </w:rPr>
              <w:t>2</w:t>
            </w:r>
            <w:r w:rsidRPr="0006338D">
              <w:rPr>
                <w:b/>
                <w:color w:val="FFFFFF" w:themeColor="background1"/>
                <w:sz w:val="32"/>
                <w:szCs w:val="32"/>
              </w:rPr>
              <w:t>.</w:t>
            </w:r>
          </w:p>
        </w:tc>
        <w:tc>
          <w:tcPr>
            <w:tcW w:w="9268" w:type="dxa"/>
            <w:tcBorders>
              <w:top w:val="single" w:sz="8" w:space="0" w:color="2A6EBB"/>
              <w:right w:val="single" w:sz="8" w:space="0" w:color="2A6EBB"/>
            </w:tcBorders>
            <w:shd w:val="clear" w:color="auto" w:fill="2A6EBB"/>
            <w:vAlign w:val="center"/>
          </w:tcPr>
          <w:p w14:paraId="4191161B" w14:textId="7DF0FD6F" w:rsidR="00C14C96" w:rsidRPr="00033C40" w:rsidRDefault="00C14C96" w:rsidP="00D758E9">
            <w:pPr>
              <w:rPr>
                <w:b/>
                <w:color w:val="FFFFFF" w:themeColor="background1"/>
                <w:sz w:val="24"/>
                <w:szCs w:val="24"/>
              </w:rPr>
            </w:pPr>
            <w:r>
              <w:rPr>
                <w:b/>
                <w:color w:val="FFFFFF" w:themeColor="background1"/>
                <w:sz w:val="24"/>
                <w:szCs w:val="24"/>
              </w:rPr>
              <w:t>Evaluate your reading programme</w:t>
            </w:r>
          </w:p>
        </w:tc>
      </w:tr>
      <w:tr w:rsidR="00C14C96" w14:paraId="32F4FB6E" w14:textId="77777777" w:rsidTr="00245440">
        <w:trPr>
          <w:gridAfter w:val="1"/>
          <w:wAfter w:w="24" w:type="dxa"/>
          <w:trHeight w:val="382"/>
        </w:trPr>
        <w:tc>
          <w:tcPr>
            <w:tcW w:w="9865" w:type="dxa"/>
            <w:gridSpan w:val="2"/>
            <w:tcBorders>
              <w:left w:val="single" w:sz="8" w:space="0" w:color="2A6EBB"/>
              <w:bottom w:val="single" w:sz="8" w:space="0" w:color="2A6EBB"/>
              <w:right w:val="single" w:sz="8" w:space="0" w:color="2A6EBB"/>
            </w:tcBorders>
          </w:tcPr>
          <w:p w14:paraId="7C560E24" w14:textId="77777777" w:rsidR="00C14C96" w:rsidRDefault="00C14C96" w:rsidP="00C14C96">
            <w:pPr>
              <w:spacing w:before="120" w:after="120"/>
            </w:pPr>
            <w:r>
              <w:rPr>
                <w:b/>
              </w:rPr>
              <w:t xml:space="preserve">Use these prompts to discuss and compare your responses with a partner. </w:t>
            </w:r>
          </w:p>
          <w:p w14:paraId="0C698600" w14:textId="77777777" w:rsidR="00C14C96" w:rsidRDefault="00C14C96" w:rsidP="00C14C96">
            <w:pPr>
              <w:pStyle w:val="ListParagraph"/>
              <w:numPr>
                <w:ilvl w:val="0"/>
                <w:numId w:val="5"/>
              </w:numPr>
            </w:pPr>
            <w:r>
              <w:t>What opportunities to read do your students have throughout the day? Do they change throughout</w:t>
            </w:r>
            <w:r>
              <w:br/>
              <w:t>the week?</w:t>
            </w:r>
          </w:p>
          <w:p w14:paraId="4746587C" w14:textId="77777777" w:rsidR="00C14C96" w:rsidRDefault="00C14C96" w:rsidP="00C14C96">
            <w:pPr>
              <w:pStyle w:val="ListParagraph"/>
              <w:numPr>
                <w:ilvl w:val="0"/>
                <w:numId w:val="5"/>
              </w:numPr>
              <w:spacing w:before="120" w:after="120"/>
            </w:pPr>
            <w:r>
              <w:t xml:space="preserve">What kinds of texts do students read throughout the day, and for what purposes? </w:t>
            </w:r>
          </w:p>
          <w:p w14:paraId="70BD6682" w14:textId="77777777" w:rsidR="00C14C96" w:rsidRDefault="00C14C96" w:rsidP="00C14C96">
            <w:pPr>
              <w:pStyle w:val="ListParagraph"/>
              <w:numPr>
                <w:ilvl w:val="0"/>
                <w:numId w:val="5"/>
              </w:numPr>
              <w:spacing w:before="120" w:after="120"/>
            </w:pPr>
            <w:r>
              <w:t xml:space="preserve">In which kinds of tasks do you plan a specific reading focus? When do you explicitly teach reading knowledge and skills?  </w:t>
            </w:r>
          </w:p>
          <w:p w14:paraId="2D1284C9" w14:textId="77777777" w:rsidR="00C14C96" w:rsidRDefault="00C14C96" w:rsidP="00C14C96">
            <w:pPr>
              <w:pStyle w:val="ListParagraph"/>
              <w:numPr>
                <w:ilvl w:val="0"/>
                <w:numId w:val="5"/>
              </w:numPr>
              <w:spacing w:before="120" w:after="120"/>
            </w:pPr>
            <w:r>
              <w:t>Is reading a separate subject in your programme or is it linked to a wider curriculum focus? How often</w:t>
            </w:r>
            <w:r>
              <w:br/>
              <w:t xml:space="preserve">is your instructional reading able to be integrated into your wider learning focuses? For example, </w:t>
            </w:r>
            <w:r>
              <w:br/>
              <w:t>how often do you teach or reinforce a new reading skill, such as reading a different type of text in a science inquiry?</w:t>
            </w:r>
          </w:p>
          <w:p w14:paraId="04365203" w14:textId="3A7CDABA" w:rsidR="00C14C96" w:rsidRPr="0096450D" w:rsidRDefault="00C14C96" w:rsidP="00C14C96">
            <w:pPr>
              <w:spacing w:before="120" w:after="120"/>
            </w:pPr>
            <w:r>
              <w:t>If you are a junior teacher, take particular note of how and when you introduce the knowledge and skills needed for reading non-fiction texts. Do your students have opportunities to practise these skills?</w:t>
            </w:r>
          </w:p>
        </w:tc>
      </w:tr>
      <w:tr w:rsidR="00727C60" w14:paraId="22A3A3FC" w14:textId="77777777" w:rsidTr="00245440">
        <w:trPr>
          <w:gridAfter w:val="1"/>
          <w:wAfter w:w="24" w:type="dxa"/>
          <w:trHeight w:val="497"/>
        </w:trPr>
        <w:tc>
          <w:tcPr>
            <w:tcW w:w="597" w:type="dxa"/>
            <w:tcBorders>
              <w:top w:val="single" w:sz="8" w:space="0" w:color="2A6EBB"/>
            </w:tcBorders>
            <w:vAlign w:val="center"/>
          </w:tcPr>
          <w:p w14:paraId="7B5E8998" w14:textId="165AA5F5" w:rsidR="00727C60" w:rsidRDefault="00727C60" w:rsidP="00727C60">
            <w:r>
              <w:rPr>
                <w:noProof/>
                <w:lang w:val="en-US"/>
              </w:rPr>
              <w:drawing>
                <wp:inline distT="0" distB="0" distL="0" distR="0" wp14:anchorId="2E9D6FA3" wp14:editId="68D08C91">
                  <wp:extent cx="166370" cy="213995"/>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p>
        </w:tc>
        <w:tc>
          <w:tcPr>
            <w:tcW w:w="9268" w:type="dxa"/>
            <w:tcBorders>
              <w:top w:val="single" w:sz="8" w:space="0" w:color="2A6EBB"/>
            </w:tcBorders>
          </w:tcPr>
          <w:p w14:paraId="74D175DD" w14:textId="77777777" w:rsidR="00727C60" w:rsidRDefault="00727C60" w:rsidP="00727C60"/>
        </w:tc>
      </w:tr>
      <w:tr w:rsidR="00245440" w14:paraId="388355BF" w14:textId="77777777" w:rsidTr="00245440">
        <w:trPr>
          <w:trHeight w:val="568"/>
        </w:trPr>
        <w:tc>
          <w:tcPr>
            <w:tcW w:w="597" w:type="dxa"/>
            <w:tcBorders>
              <w:top w:val="single" w:sz="8" w:space="0" w:color="F17B2D"/>
              <w:left w:val="single" w:sz="8" w:space="0" w:color="F17B2D"/>
            </w:tcBorders>
            <w:shd w:val="clear" w:color="auto" w:fill="F17B2D"/>
            <w:vAlign w:val="center"/>
          </w:tcPr>
          <w:p w14:paraId="021C6F6D" w14:textId="77777777" w:rsidR="00245440" w:rsidRPr="0006338D" w:rsidRDefault="00245440" w:rsidP="00D758E9">
            <w:pPr>
              <w:jc w:val="center"/>
              <w:rPr>
                <w:b/>
                <w:sz w:val="32"/>
                <w:szCs w:val="32"/>
              </w:rPr>
            </w:pPr>
            <w:r>
              <w:rPr>
                <w:b/>
                <w:color w:val="FFFFFF" w:themeColor="background1"/>
                <w:sz w:val="32"/>
                <w:szCs w:val="32"/>
              </w:rPr>
              <w:t>3</w:t>
            </w:r>
            <w:r w:rsidRPr="0006338D">
              <w:rPr>
                <w:b/>
                <w:color w:val="FFFFFF" w:themeColor="background1"/>
                <w:sz w:val="32"/>
                <w:szCs w:val="32"/>
              </w:rPr>
              <w:t>.</w:t>
            </w:r>
          </w:p>
        </w:tc>
        <w:tc>
          <w:tcPr>
            <w:tcW w:w="9292" w:type="dxa"/>
            <w:gridSpan w:val="2"/>
            <w:tcBorders>
              <w:top w:val="single" w:sz="8" w:space="0" w:color="2A6EBB"/>
              <w:right w:val="single" w:sz="8" w:space="0" w:color="2A6EBB"/>
            </w:tcBorders>
            <w:shd w:val="clear" w:color="auto" w:fill="2A6EBB"/>
            <w:vAlign w:val="center"/>
          </w:tcPr>
          <w:p w14:paraId="17EB4A05" w14:textId="77777777" w:rsidR="00245440" w:rsidRPr="00033C40" w:rsidRDefault="00245440" w:rsidP="00D758E9">
            <w:pPr>
              <w:rPr>
                <w:b/>
                <w:color w:val="FFFFFF" w:themeColor="background1"/>
                <w:sz w:val="24"/>
                <w:szCs w:val="24"/>
              </w:rPr>
            </w:pPr>
            <w:r>
              <w:rPr>
                <w:b/>
                <w:color w:val="FFFFFF" w:themeColor="background1"/>
                <w:sz w:val="24"/>
                <w:szCs w:val="24"/>
              </w:rPr>
              <w:t>Review your understanding of the framework</w:t>
            </w:r>
          </w:p>
        </w:tc>
      </w:tr>
      <w:tr w:rsidR="00245440" w14:paraId="0E075865" w14:textId="77777777" w:rsidTr="00245440">
        <w:trPr>
          <w:trHeight w:val="382"/>
        </w:trPr>
        <w:tc>
          <w:tcPr>
            <w:tcW w:w="9889" w:type="dxa"/>
            <w:gridSpan w:val="3"/>
            <w:tcBorders>
              <w:left w:val="single" w:sz="8" w:space="0" w:color="2A6EBB"/>
              <w:bottom w:val="single" w:sz="8" w:space="0" w:color="2A6EBB"/>
              <w:right w:val="single" w:sz="8" w:space="0" w:color="2A6EBB"/>
            </w:tcBorders>
          </w:tcPr>
          <w:p w14:paraId="217D4626" w14:textId="4FEABD1A" w:rsidR="00245440" w:rsidRDefault="00245440" w:rsidP="00D758E9">
            <w:pPr>
              <w:spacing w:before="120" w:after="120"/>
            </w:pPr>
            <w:r>
              <w:t xml:space="preserve">In pairs, read and discuss the webpage </w:t>
            </w:r>
            <w:r w:rsidRPr="00A7781D">
              <w:rPr>
                <w:i/>
              </w:rPr>
              <w:t>Understanding the reading framework</w:t>
            </w:r>
            <w:r>
              <w:t xml:space="preserve">.  </w:t>
            </w:r>
          </w:p>
          <w:p w14:paraId="5DF8D766" w14:textId="4DB4FF3B" w:rsidR="00245440" w:rsidRDefault="00245440" w:rsidP="00D758E9">
            <w:pPr>
              <w:spacing w:before="120" w:after="120"/>
            </w:pPr>
            <w:r>
              <w:t xml:space="preserve">You could also read the </w:t>
            </w:r>
            <w:r w:rsidR="00D7000B">
              <w:t xml:space="preserve">more info resource </w:t>
            </w:r>
            <w:r w:rsidR="00D7000B" w:rsidRPr="00D7000B">
              <w:rPr>
                <w:i/>
              </w:rPr>
              <w:t xml:space="preserve">A </w:t>
            </w:r>
            <w:r w:rsidRPr="00D7000B">
              <w:rPr>
                <w:i/>
              </w:rPr>
              <w:t xml:space="preserve">rationale for the </w:t>
            </w:r>
            <w:r w:rsidR="00D7000B" w:rsidRPr="00D7000B">
              <w:rPr>
                <w:i/>
              </w:rPr>
              <w:t xml:space="preserve">seven aspects of the </w:t>
            </w:r>
            <w:r w:rsidRPr="00D7000B">
              <w:rPr>
                <w:i/>
              </w:rPr>
              <w:t>reading framework</w:t>
            </w:r>
            <w:r>
              <w:t xml:space="preserve"> to understand how it was developed and the key messages underpinning the aspects. Take particular note of each aspect descriptor and identify the different purposes and focuses for each. Discuss what was new for you, or what you need to know more about.</w:t>
            </w:r>
          </w:p>
          <w:p w14:paraId="2E6C5BB7" w14:textId="77777777" w:rsidR="00245440" w:rsidRPr="0096450D" w:rsidRDefault="00245440" w:rsidP="00D758E9">
            <w:pPr>
              <w:spacing w:before="120" w:after="120"/>
            </w:pPr>
            <w:r>
              <w:t xml:space="preserve">View the video of </w:t>
            </w:r>
            <w:proofErr w:type="spellStart"/>
            <w:r>
              <w:t>Tineke</w:t>
            </w:r>
            <w:proofErr w:type="spellEnd"/>
            <w:r>
              <w:t xml:space="preserve"> from </w:t>
            </w:r>
            <w:proofErr w:type="spellStart"/>
            <w:r>
              <w:t>Lynmore</w:t>
            </w:r>
            <w:proofErr w:type="spellEnd"/>
            <w:r>
              <w:t xml:space="preserve"> school as she explains how the framework has helped her to take a more comprehensive view of her reading programme. Discuss </w:t>
            </w:r>
            <w:proofErr w:type="spellStart"/>
            <w:r>
              <w:t>Tineke’s</w:t>
            </w:r>
            <w:proofErr w:type="spellEnd"/>
            <w:r>
              <w:t xml:space="preserve"> reflection and consider how comprehensive your own reading programme is.</w:t>
            </w:r>
          </w:p>
        </w:tc>
      </w:tr>
      <w:tr w:rsidR="00245440" w14:paraId="08C8CE85" w14:textId="77777777" w:rsidTr="00245440">
        <w:trPr>
          <w:trHeight w:val="497"/>
        </w:trPr>
        <w:tc>
          <w:tcPr>
            <w:tcW w:w="597" w:type="dxa"/>
            <w:tcBorders>
              <w:top w:val="single" w:sz="8" w:space="0" w:color="2A6EBB"/>
            </w:tcBorders>
            <w:vAlign w:val="center"/>
          </w:tcPr>
          <w:p w14:paraId="4AD6D729" w14:textId="77777777" w:rsidR="00245440" w:rsidRDefault="00245440" w:rsidP="00D758E9">
            <w:r>
              <w:rPr>
                <w:noProof/>
                <w:lang w:val="en-US"/>
              </w:rPr>
              <w:drawing>
                <wp:inline distT="0" distB="0" distL="0" distR="0" wp14:anchorId="4366E6C5" wp14:editId="5DAFFEB6">
                  <wp:extent cx="166370" cy="21399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p>
        </w:tc>
        <w:tc>
          <w:tcPr>
            <w:tcW w:w="9292" w:type="dxa"/>
            <w:gridSpan w:val="2"/>
            <w:tcBorders>
              <w:top w:val="single" w:sz="8" w:space="0" w:color="2A6EBB"/>
            </w:tcBorders>
          </w:tcPr>
          <w:p w14:paraId="2F0909C6" w14:textId="77777777" w:rsidR="00245440" w:rsidRDefault="00245440" w:rsidP="00D758E9"/>
        </w:tc>
      </w:tr>
    </w:tbl>
    <w:p w14:paraId="1AA772C6" w14:textId="77777777" w:rsidR="00245440" w:rsidRDefault="00245440" w:rsidP="00245440"/>
    <w:tbl>
      <w:tblPr>
        <w:tblStyle w:val="TableGrid"/>
        <w:tblW w:w="9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9316"/>
      </w:tblGrid>
      <w:tr w:rsidR="00245440" w14:paraId="14612CFC" w14:textId="77777777" w:rsidTr="00D758E9">
        <w:trPr>
          <w:trHeight w:val="568"/>
        </w:trPr>
        <w:tc>
          <w:tcPr>
            <w:tcW w:w="597" w:type="dxa"/>
            <w:tcBorders>
              <w:top w:val="single" w:sz="8" w:space="0" w:color="F17B2D"/>
              <w:left w:val="single" w:sz="8" w:space="0" w:color="F17B2D"/>
            </w:tcBorders>
            <w:shd w:val="clear" w:color="auto" w:fill="F17B2D"/>
            <w:vAlign w:val="center"/>
          </w:tcPr>
          <w:p w14:paraId="24EAE116" w14:textId="77777777" w:rsidR="00245440" w:rsidRPr="0006338D" w:rsidRDefault="00245440" w:rsidP="00D758E9">
            <w:pPr>
              <w:rPr>
                <w:b/>
                <w:sz w:val="32"/>
                <w:szCs w:val="32"/>
              </w:rPr>
            </w:pPr>
            <w:r>
              <w:rPr>
                <w:b/>
                <w:color w:val="FFFFFF" w:themeColor="background1"/>
                <w:sz w:val="32"/>
                <w:szCs w:val="32"/>
              </w:rPr>
              <w:t>4</w:t>
            </w:r>
            <w:r w:rsidRPr="0006338D">
              <w:rPr>
                <w:b/>
                <w:color w:val="FFFFFF" w:themeColor="background1"/>
                <w:sz w:val="32"/>
                <w:szCs w:val="32"/>
              </w:rPr>
              <w:t>.</w:t>
            </w:r>
          </w:p>
        </w:tc>
        <w:tc>
          <w:tcPr>
            <w:tcW w:w="9316" w:type="dxa"/>
            <w:tcBorders>
              <w:top w:val="single" w:sz="8" w:space="0" w:color="2A6EBB"/>
              <w:right w:val="single" w:sz="8" w:space="0" w:color="2A6EBB"/>
            </w:tcBorders>
            <w:shd w:val="clear" w:color="auto" w:fill="2A6EBB"/>
            <w:vAlign w:val="center"/>
          </w:tcPr>
          <w:p w14:paraId="61C9C396" w14:textId="77777777" w:rsidR="00245440" w:rsidRPr="00033C40" w:rsidRDefault="00245440" w:rsidP="00D758E9">
            <w:pPr>
              <w:rPr>
                <w:b/>
                <w:color w:val="FFFFFF" w:themeColor="background1"/>
                <w:sz w:val="24"/>
                <w:szCs w:val="24"/>
              </w:rPr>
            </w:pPr>
            <w:r>
              <w:rPr>
                <w:b/>
                <w:color w:val="FFFFFF" w:themeColor="background1"/>
                <w:sz w:val="24"/>
                <w:szCs w:val="24"/>
              </w:rPr>
              <w:t>Match your programme to the aspects in the framework</w:t>
            </w:r>
          </w:p>
        </w:tc>
      </w:tr>
      <w:tr w:rsidR="00245440" w14:paraId="2FF697FF" w14:textId="77777777" w:rsidTr="00D758E9">
        <w:trPr>
          <w:trHeight w:val="382"/>
        </w:trPr>
        <w:tc>
          <w:tcPr>
            <w:tcW w:w="9913" w:type="dxa"/>
            <w:gridSpan w:val="2"/>
            <w:tcBorders>
              <w:left w:val="single" w:sz="8" w:space="0" w:color="2A6EBB"/>
              <w:bottom w:val="single" w:sz="8" w:space="0" w:color="2A6EBB"/>
              <w:right w:val="single" w:sz="8" w:space="0" w:color="2A6EBB"/>
            </w:tcBorders>
          </w:tcPr>
          <w:p w14:paraId="6F076AB4" w14:textId="77777777" w:rsidR="00245440" w:rsidRPr="00B84ACE" w:rsidRDefault="00245440" w:rsidP="00D758E9">
            <w:pPr>
              <w:spacing w:before="120" w:after="120"/>
              <w:rPr>
                <w:b/>
              </w:rPr>
            </w:pPr>
            <w:r>
              <w:rPr>
                <w:b/>
              </w:rPr>
              <w:t>Do this activity, then share your results</w:t>
            </w:r>
            <w:r w:rsidRPr="00B84ACE">
              <w:rPr>
                <w:b/>
              </w:rPr>
              <w:t>.</w:t>
            </w:r>
          </w:p>
          <w:p w14:paraId="0A956D36" w14:textId="77777777" w:rsidR="00245440" w:rsidRDefault="00245440" w:rsidP="00D758E9">
            <w:pPr>
              <w:spacing w:before="120" w:after="120"/>
            </w:pPr>
            <w:r>
              <w:t>Divide a large piece of paper into seven columns – one for each of the aspects.</w:t>
            </w:r>
          </w:p>
          <w:p w14:paraId="218B60CC" w14:textId="77777777" w:rsidR="00245440" w:rsidRDefault="00245440" w:rsidP="00D758E9">
            <w:pPr>
              <w:spacing w:before="120" w:after="120"/>
            </w:pPr>
            <w:r>
              <w:t xml:space="preserve">Return to your collection of sticky notes. Find the aspect where you think it best fits. It is likely that some reading activities belong in more than one aspect. </w:t>
            </w:r>
          </w:p>
          <w:p w14:paraId="7B0D4414" w14:textId="77777777" w:rsidR="00245440" w:rsidRDefault="00245440" w:rsidP="00D758E9">
            <w:pPr>
              <w:spacing w:before="120" w:after="120"/>
            </w:pPr>
            <w:r>
              <w:t xml:space="preserve">Note which aspects have no sticky notes and which aspects have many. </w:t>
            </w:r>
          </w:p>
          <w:p w14:paraId="46F9A887" w14:textId="77777777" w:rsidR="00245440" w:rsidRDefault="00245440" w:rsidP="00D758E9">
            <w:pPr>
              <w:spacing w:before="120" w:after="120"/>
            </w:pPr>
            <w:r>
              <w:t>Discuss your collection of sticky notes with colleagues.</w:t>
            </w:r>
          </w:p>
          <w:p w14:paraId="72C32738" w14:textId="77777777" w:rsidR="00245440" w:rsidRDefault="00245440" w:rsidP="00D758E9">
            <w:pPr>
              <w:pStyle w:val="ListParagraph"/>
              <w:numPr>
                <w:ilvl w:val="0"/>
                <w:numId w:val="6"/>
              </w:numPr>
              <w:spacing w:before="120" w:after="120"/>
            </w:pPr>
            <w:r>
              <w:t xml:space="preserve">Do you have a similar patterns of sticky notes?  </w:t>
            </w:r>
          </w:p>
          <w:p w14:paraId="43C489ED" w14:textId="77777777" w:rsidR="00245440" w:rsidRDefault="00245440" w:rsidP="00D758E9">
            <w:pPr>
              <w:pStyle w:val="ListParagraph"/>
              <w:numPr>
                <w:ilvl w:val="0"/>
                <w:numId w:val="6"/>
              </w:numPr>
              <w:spacing w:before="120" w:after="120"/>
            </w:pPr>
            <w:r>
              <w:t>Do your reading programmes cover the breadth of the reading framework, or do you tend to</w:t>
            </w:r>
            <w:r>
              <w:br/>
              <w:t>focus mainly on one or two aspects? Why is this, do you think?</w:t>
            </w:r>
          </w:p>
          <w:p w14:paraId="65EC293B" w14:textId="77777777" w:rsidR="00245440" w:rsidRPr="0096450D" w:rsidRDefault="00245440" w:rsidP="00D758E9">
            <w:pPr>
              <w:pStyle w:val="ListParagraph"/>
              <w:numPr>
                <w:ilvl w:val="0"/>
                <w:numId w:val="6"/>
              </w:numPr>
              <w:spacing w:before="120" w:after="120"/>
            </w:pPr>
            <w:r>
              <w:t>Are there any aspects that you need to learn more about?</w:t>
            </w:r>
          </w:p>
        </w:tc>
      </w:tr>
      <w:tr w:rsidR="00245440" w14:paraId="5AF20FA1" w14:textId="77777777" w:rsidTr="00D758E9">
        <w:trPr>
          <w:trHeight w:val="497"/>
        </w:trPr>
        <w:tc>
          <w:tcPr>
            <w:tcW w:w="597" w:type="dxa"/>
            <w:tcBorders>
              <w:top w:val="single" w:sz="8" w:space="0" w:color="2A6EBB"/>
            </w:tcBorders>
            <w:vAlign w:val="center"/>
          </w:tcPr>
          <w:p w14:paraId="2231EA21" w14:textId="651E7857" w:rsidR="00245440" w:rsidRDefault="00245440" w:rsidP="00D758E9">
            <w:r>
              <w:rPr>
                <w:noProof/>
                <w:lang w:val="en-US"/>
              </w:rPr>
              <w:drawing>
                <wp:inline distT="0" distB="0" distL="0" distR="0" wp14:anchorId="43CB8294" wp14:editId="715D4845">
                  <wp:extent cx="166370" cy="21399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p>
        </w:tc>
        <w:tc>
          <w:tcPr>
            <w:tcW w:w="9316" w:type="dxa"/>
            <w:tcBorders>
              <w:top w:val="single" w:sz="8" w:space="0" w:color="2A6EBB"/>
            </w:tcBorders>
          </w:tcPr>
          <w:p w14:paraId="6FEFBB51" w14:textId="77777777" w:rsidR="00245440" w:rsidRDefault="00245440" w:rsidP="00D758E9"/>
        </w:tc>
      </w:tr>
      <w:tr w:rsidR="00916849" w14:paraId="3A3C56FE" w14:textId="77777777" w:rsidTr="005F408C">
        <w:trPr>
          <w:trHeight w:val="568"/>
        </w:trPr>
        <w:tc>
          <w:tcPr>
            <w:tcW w:w="597" w:type="dxa"/>
            <w:tcBorders>
              <w:top w:val="single" w:sz="8" w:space="0" w:color="F17B2D"/>
              <w:left w:val="single" w:sz="8" w:space="0" w:color="F17B2D"/>
            </w:tcBorders>
            <w:shd w:val="clear" w:color="auto" w:fill="F17B2D"/>
            <w:vAlign w:val="center"/>
          </w:tcPr>
          <w:p w14:paraId="0A34B48E" w14:textId="2EAF94D6" w:rsidR="00916849" w:rsidRPr="0006338D" w:rsidRDefault="00916849" w:rsidP="005F408C">
            <w:pPr>
              <w:rPr>
                <w:b/>
                <w:sz w:val="32"/>
                <w:szCs w:val="32"/>
              </w:rPr>
            </w:pPr>
            <w:r>
              <w:rPr>
                <w:b/>
                <w:color w:val="FFFFFF" w:themeColor="background1"/>
                <w:sz w:val="32"/>
                <w:szCs w:val="32"/>
              </w:rPr>
              <w:t>5</w:t>
            </w:r>
            <w:r w:rsidRPr="0006338D">
              <w:rPr>
                <w:b/>
                <w:color w:val="FFFFFF" w:themeColor="background1"/>
                <w:sz w:val="32"/>
                <w:szCs w:val="32"/>
              </w:rPr>
              <w:t>.</w:t>
            </w:r>
          </w:p>
        </w:tc>
        <w:tc>
          <w:tcPr>
            <w:tcW w:w="9316" w:type="dxa"/>
            <w:tcBorders>
              <w:top w:val="single" w:sz="8" w:space="0" w:color="2A6EBB"/>
              <w:right w:val="single" w:sz="8" w:space="0" w:color="2A6EBB"/>
            </w:tcBorders>
            <w:shd w:val="clear" w:color="auto" w:fill="2A6EBB"/>
            <w:vAlign w:val="center"/>
          </w:tcPr>
          <w:p w14:paraId="22FF6116" w14:textId="0C3D18BD" w:rsidR="00916849" w:rsidRPr="00033C40" w:rsidRDefault="00916849" w:rsidP="005F408C">
            <w:pPr>
              <w:rPr>
                <w:b/>
                <w:color w:val="FFFFFF" w:themeColor="background1"/>
                <w:sz w:val="24"/>
                <w:szCs w:val="24"/>
              </w:rPr>
            </w:pPr>
            <w:r>
              <w:rPr>
                <w:b/>
                <w:color w:val="FFFFFF" w:themeColor="background1"/>
                <w:sz w:val="24"/>
                <w:szCs w:val="24"/>
              </w:rPr>
              <w:t>Focus on one aspect and match your programme to the signposts</w:t>
            </w:r>
          </w:p>
        </w:tc>
      </w:tr>
      <w:tr w:rsidR="00916849" w14:paraId="33546174" w14:textId="77777777" w:rsidTr="005F408C">
        <w:trPr>
          <w:trHeight w:val="382"/>
        </w:trPr>
        <w:tc>
          <w:tcPr>
            <w:tcW w:w="9913" w:type="dxa"/>
            <w:gridSpan w:val="2"/>
            <w:tcBorders>
              <w:left w:val="single" w:sz="8" w:space="0" w:color="2A6EBB"/>
              <w:bottom w:val="single" w:sz="8" w:space="0" w:color="2A6EBB"/>
              <w:right w:val="single" w:sz="8" w:space="0" w:color="2A6EBB"/>
            </w:tcBorders>
          </w:tcPr>
          <w:p w14:paraId="2C617F10" w14:textId="24E2BC19" w:rsidR="00916849" w:rsidRPr="0096450D" w:rsidRDefault="00916849" w:rsidP="00916849">
            <w:pPr>
              <w:spacing w:before="120" w:after="120"/>
            </w:pPr>
            <w:r>
              <w:t>Return to the reading framework and choose one or two aspects to investigate further. Identify the sets of illustrations that best match the texts and tasks your programme covers as well as the knowledge and skills your students demonstrate. Note the range of sets that represent your programme and your students’ reading knowledge and skills.</w:t>
            </w:r>
          </w:p>
        </w:tc>
      </w:tr>
    </w:tbl>
    <w:p w14:paraId="7B14B474" w14:textId="1AA666C5" w:rsidR="00C350A3" w:rsidRDefault="00C350A3"/>
    <w:sectPr w:rsidR="00C350A3" w:rsidSect="00D7000B">
      <w:pgSz w:w="11906" w:h="16838"/>
      <w:pgMar w:top="964" w:right="964" w:bottom="73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0126A"/>
    <w:multiLevelType w:val="hybridMultilevel"/>
    <w:tmpl w:val="54FA7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265021"/>
    <w:multiLevelType w:val="hybridMultilevel"/>
    <w:tmpl w:val="86000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C263DB"/>
    <w:multiLevelType w:val="hybridMultilevel"/>
    <w:tmpl w:val="405ED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512146"/>
    <w:multiLevelType w:val="hybridMultilevel"/>
    <w:tmpl w:val="64F6AC7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7A637F71"/>
    <w:multiLevelType w:val="hybridMultilevel"/>
    <w:tmpl w:val="ACE699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FF64E09"/>
    <w:multiLevelType w:val="hybridMultilevel"/>
    <w:tmpl w:val="EF902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38D"/>
    <w:rsid w:val="00004646"/>
    <w:rsid w:val="00005F2C"/>
    <w:rsid w:val="0002133D"/>
    <w:rsid w:val="00027C95"/>
    <w:rsid w:val="00033C40"/>
    <w:rsid w:val="000563F7"/>
    <w:rsid w:val="0006338D"/>
    <w:rsid w:val="00075BB9"/>
    <w:rsid w:val="000A6BC5"/>
    <w:rsid w:val="000B7F79"/>
    <w:rsid w:val="000D11E4"/>
    <w:rsid w:val="001507F5"/>
    <w:rsid w:val="001900A0"/>
    <w:rsid w:val="001F792C"/>
    <w:rsid w:val="00213F82"/>
    <w:rsid w:val="00245440"/>
    <w:rsid w:val="0027132F"/>
    <w:rsid w:val="00273012"/>
    <w:rsid w:val="002965C3"/>
    <w:rsid w:val="002A60AA"/>
    <w:rsid w:val="002C13CB"/>
    <w:rsid w:val="002D28B7"/>
    <w:rsid w:val="002D41DD"/>
    <w:rsid w:val="002D61C3"/>
    <w:rsid w:val="003242FF"/>
    <w:rsid w:val="003472C6"/>
    <w:rsid w:val="0035101E"/>
    <w:rsid w:val="00353D15"/>
    <w:rsid w:val="003A2C69"/>
    <w:rsid w:val="004047AE"/>
    <w:rsid w:val="004078F7"/>
    <w:rsid w:val="00446A60"/>
    <w:rsid w:val="00476139"/>
    <w:rsid w:val="004974DB"/>
    <w:rsid w:val="004A205E"/>
    <w:rsid w:val="005027B3"/>
    <w:rsid w:val="00547D03"/>
    <w:rsid w:val="00561549"/>
    <w:rsid w:val="00655CDF"/>
    <w:rsid w:val="0066171E"/>
    <w:rsid w:val="00663EE2"/>
    <w:rsid w:val="006826A5"/>
    <w:rsid w:val="006C7890"/>
    <w:rsid w:val="00727C60"/>
    <w:rsid w:val="007328D3"/>
    <w:rsid w:val="007B04F7"/>
    <w:rsid w:val="007F3B8A"/>
    <w:rsid w:val="008610D6"/>
    <w:rsid w:val="00862964"/>
    <w:rsid w:val="00882050"/>
    <w:rsid w:val="00894C0E"/>
    <w:rsid w:val="008B6825"/>
    <w:rsid w:val="008D1CBA"/>
    <w:rsid w:val="008D42C4"/>
    <w:rsid w:val="008F1730"/>
    <w:rsid w:val="00906935"/>
    <w:rsid w:val="00916849"/>
    <w:rsid w:val="0092725C"/>
    <w:rsid w:val="00935BFB"/>
    <w:rsid w:val="00961C9A"/>
    <w:rsid w:val="0096450D"/>
    <w:rsid w:val="009977BF"/>
    <w:rsid w:val="009E574F"/>
    <w:rsid w:val="009F5C5A"/>
    <w:rsid w:val="00A02261"/>
    <w:rsid w:val="00A41516"/>
    <w:rsid w:val="00A564DB"/>
    <w:rsid w:val="00A63ED2"/>
    <w:rsid w:val="00A7781D"/>
    <w:rsid w:val="00AA3487"/>
    <w:rsid w:val="00AD0563"/>
    <w:rsid w:val="00AE1C63"/>
    <w:rsid w:val="00B1529A"/>
    <w:rsid w:val="00B30E2B"/>
    <w:rsid w:val="00B557BD"/>
    <w:rsid w:val="00B84ACE"/>
    <w:rsid w:val="00BC3162"/>
    <w:rsid w:val="00C14C96"/>
    <w:rsid w:val="00C350A3"/>
    <w:rsid w:val="00C656E1"/>
    <w:rsid w:val="00C67349"/>
    <w:rsid w:val="00D01E4B"/>
    <w:rsid w:val="00D44769"/>
    <w:rsid w:val="00D7000B"/>
    <w:rsid w:val="00D901AC"/>
    <w:rsid w:val="00DA437F"/>
    <w:rsid w:val="00DD6914"/>
    <w:rsid w:val="00DF542B"/>
    <w:rsid w:val="00E14F30"/>
    <w:rsid w:val="00E22C53"/>
    <w:rsid w:val="00E55D1A"/>
    <w:rsid w:val="00E70AD8"/>
    <w:rsid w:val="00ED515D"/>
    <w:rsid w:val="00F022FE"/>
    <w:rsid w:val="00F17C70"/>
    <w:rsid w:val="00F17F65"/>
    <w:rsid w:val="00F63E4B"/>
    <w:rsid w:val="00F81FE1"/>
    <w:rsid w:val="00F92BD6"/>
    <w:rsid w:val="00FA3DFC"/>
    <w:rsid w:val="00FD3234"/>
    <w:rsid w:val="00FF4B2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75C0FE"/>
  <w15:docId w15:val="{13031FA1-8595-4A42-8301-F66CECF3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6A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6A60"/>
    <w:rPr>
      <w:rFonts w:ascii="Lucida Grande" w:hAnsi="Lucida Grande" w:cs="Lucida Grande"/>
      <w:sz w:val="18"/>
      <w:szCs w:val="18"/>
    </w:rPr>
  </w:style>
  <w:style w:type="paragraph" w:styleId="ListParagraph">
    <w:name w:val="List Paragraph"/>
    <w:basedOn w:val="Normal"/>
    <w:uiPriority w:val="34"/>
    <w:qFormat/>
    <w:rsid w:val="007B04F7"/>
    <w:pPr>
      <w:ind w:left="720"/>
      <w:contextualSpacing/>
    </w:pPr>
  </w:style>
  <w:style w:type="character" w:styleId="CommentReference">
    <w:name w:val="annotation reference"/>
    <w:basedOn w:val="DefaultParagraphFont"/>
    <w:uiPriority w:val="99"/>
    <w:semiHidden/>
    <w:unhideWhenUsed/>
    <w:rsid w:val="003A2C69"/>
    <w:rPr>
      <w:sz w:val="16"/>
      <w:szCs w:val="16"/>
    </w:rPr>
  </w:style>
  <w:style w:type="paragraph" w:styleId="CommentText">
    <w:name w:val="annotation text"/>
    <w:basedOn w:val="Normal"/>
    <w:link w:val="CommentTextChar"/>
    <w:uiPriority w:val="99"/>
    <w:semiHidden/>
    <w:unhideWhenUsed/>
    <w:rsid w:val="003A2C69"/>
    <w:pPr>
      <w:spacing w:line="240" w:lineRule="auto"/>
    </w:pPr>
    <w:rPr>
      <w:sz w:val="20"/>
      <w:szCs w:val="20"/>
    </w:rPr>
  </w:style>
  <w:style w:type="character" w:customStyle="1" w:styleId="CommentTextChar">
    <w:name w:val="Comment Text Char"/>
    <w:basedOn w:val="DefaultParagraphFont"/>
    <w:link w:val="CommentText"/>
    <w:uiPriority w:val="99"/>
    <w:semiHidden/>
    <w:rsid w:val="003A2C69"/>
    <w:rPr>
      <w:sz w:val="20"/>
      <w:szCs w:val="20"/>
    </w:rPr>
  </w:style>
  <w:style w:type="paragraph" w:styleId="CommentSubject">
    <w:name w:val="annotation subject"/>
    <w:basedOn w:val="CommentText"/>
    <w:next w:val="CommentText"/>
    <w:link w:val="CommentSubjectChar"/>
    <w:uiPriority w:val="99"/>
    <w:semiHidden/>
    <w:unhideWhenUsed/>
    <w:rsid w:val="003A2C69"/>
    <w:rPr>
      <w:b/>
      <w:bCs/>
    </w:rPr>
  </w:style>
  <w:style w:type="character" w:customStyle="1" w:styleId="CommentSubjectChar">
    <w:name w:val="Comment Subject Char"/>
    <w:basedOn w:val="CommentTextChar"/>
    <w:link w:val="CommentSubject"/>
    <w:uiPriority w:val="99"/>
    <w:semiHidden/>
    <w:rsid w:val="003A2C69"/>
    <w:rPr>
      <w:b/>
      <w:bCs/>
      <w:sz w:val="20"/>
      <w:szCs w:val="20"/>
    </w:rPr>
  </w:style>
  <w:style w:type="character" w:styleId="Hyperlink">
    <w:name w:val="Hyperlink"/>
    <w:basedOn w:val="DefaultParagraphFont"/>
    <w:uiPriority w:val="99"/>
    <w:unhideWhenUsed/>
    <w:rsid w:val="00D7000B"/>
    <w:rPr>
      <w:color w:val="0563C1" w:themeColor="hyperlink"/>
      <w:u w:val="single"/>
    </w:rPr>
  </w:style>
  <w:style w:type="character" w:styleId="UnresolvedMention">
    <w:name w:val="Unresolved Mention"/>
    <w:basedOn w:val="DefaultParagraphFont"/>
    <w:uiPriority w:val="99"/>
    <w:semiHidden/>
    <w:unhideWhenUsed/>
    <w:rsid w:val="00D700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rriculumprogresstools.education.govt.nz/lpfs/understanding-the-reading-framewor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Tagg</dc:creator>
  <cp:keywords/>
  <dc:description/>
  <cp:lastModifiedBy>Jenny Ward</cp:lastModifiedBy>
  <cp:revision>4</cp:revision>
  <cp:lastPrinted>2018-12-05T00:15:00Z</cp:lastPrinted>
  <dcterms:created xsi:type="dcterms:W3CDTF">2019-02-11T19:08:00Z</dcterms:created>
  <dcterms:modified xsi:type="dcterms:W3CDTF">2019-07-10T01:32:00Z</dcterms:modified>
</cp:coreProperties>
</file>